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204</w:t>
      </w:r>
    </w:p>
    <w:p>
      <w:r>
        <w:t>Bundesgericht (BGE), 1995-07-10, DE</w:t>
      </w:r>
    </w:p>
    <w:p>
      <w:r>
        <w:rPr>
          <w:b/>
        </w:rPr>
        <w:t xml:space="preserve">Quelle: </w:t>
      </w:r>
      <w:r>
        <w:t>https://mcp.opencaselaw.ch/entscheid/bge_121 III 204</w:t>
      </w:r>
    </w:p>
    <w:p>
      <w:r>
        <w:t>FR: ATF 121 III 204</w:t>
      </w:r>
    </w:p>
    <w:p>
      <w:r>
        <w:t>IT: DTF 121 III 204</w:t>
      </w:r>
    </w:p>
    <w:p>
      <w:pPr>
        <w:pStyle w:val="Heading2"/>
      </w:pPr>
      <w:r>
        <w:t>Regeste</w:t>
      </w:r>
    </w:p>
    <w:p>
      <w:r>
        <w:t>Regeste Art. 429a ZGB; Verhältnis der bundesrechtlichen zum kantonalrechtlichen Staatshaftungsbestimmungen im Bereich der fürsorgerischen Freiheitsentziehung. Entscheidet das Bundesgericht als einzige Instanz über eine Zivilklage, haben die Parteien gemäss Art. 6 Abs. 1 EMRK Anspruch auf die Durchführung einer öffentlichen Verhandlung. Durch ausdrückliche Erklärung können sie allerdings darauf verzichten (E. 1). Staatshaftungsansprüche wegen widerrechtlicher fürsorgerischer Freiheitsentziehung beruhen ausschliesslich auf Art. 429a ZGB. Für die Anwendung kantonalen Staatshaftungsrechts bleibt damit kein Raum, auch wenn es im Einzelfall für den Ansprecher günstigere Haftungsbedingungen (z.B. eine längere Verjährungsfrist) vorsieht (E. 2).</w:t>
      </w:r>
    </w:p>
    <w:p>
      <w:pPr>
        <w:pStyle w:val="Heading2"/>
      </w:pPr>
      <w:r>
        <w:t>Erwägungen</w:t>
      </w:r>
    </w:p>
    <w:p>
      <w:r>
        <w:rPr>
          <w:b/>
        </w:rPr>
        <w:t>E. 1</w:t>
      </w:r>
    </w:p>
    <w:p>
      <w:r>
        <w:t>Das Bundesgericht beurteilt als einzige Instanz zivilrechtliche Streitigkeiten zwischen einem Kanton und Privaten, wenn eine Partei es rechtzeitig verlangt und der Streitwert wenigstens Fr. 8'000.-- beträgt ( Art. 42 Abs. 1 OG ). a) Diese von Amtes wegen zu prüfenden Voraussetzungen ( Art. 3 Abs. 1 BZP ) sind vorliegend erfüllt. Ungeachtet davon, ob der geltend gemachte Haftungsanspruch auf Bundesrecht ( Art. 429a ZGB ) oder kantonalem öffentlichem Recht (§§ 37 ff. Beamtengesetz des Kantons Basel-Stadt) beruht, handelt es sich um einen zivilrechtlichen Anspruch im Sinn des Gesetzes ( BGE 107 Ib 155 E. 1). Sodann hat die Klägerin das Bundesgericht rechtzeitig im Sinn von Art. 42 OG angerufen, d.h. bevor für den gleichen Streitgegenstand die kantonale Gerichtsbarkeit in Anspruch genommen wurde (POUDRET/SANDOZ-MONOD, Commentaire de la loi fédérale d'organisation judiciaire, Band II, N. 2.4 zu Art. 42 OG ). Und schliesslich übersteigt der Streitwert den Betrag von Fr. 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